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hint="eastAsia" w:ascii="楷体" w:hAnsi="楷体" w:eastAsia="楷体" w:cs="楷体"/>
          <w:color w:val="000000"/>
          <w:sz w:val="36"/>
          <w:szCs w:val="36"/>
          <w:lang w:val="en-US" w:eastAsia="zh-CN"/>
        </w:rPr>
      </w:pPr>
      <w:r>
        <w:rPr>
          <w:rFonts w:hint="eastAsia" w:ascii="楷体" w:hAnsi="楷体" w:eastAsia="楷体" w:cs="楷体"/>
          <w:color w:val="000000"/>
          <w:sz w:val="36"/>
          <w:szCs w:val="36"/>
          <w:lang w:val="en-US" w:eastAsia="zh-CN"/>
        </w:rPr>
        <w:t>浙江省首批高校领军人才计划第二年度总结报告</w:t>
      </w:r>
    </w:p>
    <w:p>
      <w:pPr>
        <w:spacing w:line="360" w:lineRule="auto"/>
        <w:jc w:val="right"/>
        <w:rPr>
          <w:rFonts w:hint="default"/>
          <w:sz w:val="32"/>
          <w:szCs w:val="32"/>
          <w:lang w:val="en-US" w:eastAsia="zh-CN"/>
        </w:rPr>
      </w:pPr>
      <w:r>
        <w:rPr>
          <w:rFonts w:hint="eastAsia" w:ascii="楷体" w:hAnsi="楷体" w:eastAsia="楷体" w:cs="楷体"/>
          <w:color w:val="000000"/>
          <w:sz w:val="36"/>
          <w:szCs w:val="36"/>
          <w:lang w:val="en-US" w:eastAsia="zh-CN"/>
        </w:rPr>
        <w:t>——丽水学院  孙晓丽</w:t>
      </w:r>
      <w:bookmarkStart w:id="0" w:name="_GoBack"/>
      <w:bookmarkEnd w:id="0"/>
    </w:p>
    <w:p>
      <w:pPr>
        <w:spacing w:line="360" w:lineRule="auto"/>
        <w:ind w:firstLine="480" w:firstLineChars="200"/>
        <w:rPr>
          <w:rFonts w:hint="default" w:eastAsiaTheme="minorEastAsia"/>
          <w:sz w:val="24"/>
          <w:szCs w:val="24"/>
          <w:lang w:val="en-US" w:eastAsia="zh-CN"/>
        </w:rPr>
      </w:pPr>
      <w:r>
        <w:rPr>
          <w:rFonts w:hint="eastAsia"/>
          <w:sz w:val="24"/>
          <w:szCs w:val="24"/>
        </w:rPr>
        <w:t>自入选浙江省高校领军人才青年人才培养计划以来，</w:t>
      </w:r>
      <w:r>
        <w:rPr>
          <w:rFonts w:hint="eastAsia"/>
          <w:sz w:val="24"/>
          <w:szCs w:val="24"/>
          <w:lang w:val="en-US" w:eastAsia="zh-CN"/>
        </w:rPr>
        <w:t>倍感个人考核与团队建设、个人科研与管理工作存在的矛盾与压力。一方面由于</w:t>
      </w:r>
      <w:r>
        <w:rPr>
          <w:rFonts w:hint="eastAsia"/>
          <w:sz w:val="24"/>
          <w:szCs w:val="24"/>
        </w:rPr>
        <w:t>教学副院长</w:t>
      </w:r>
      <w:r>
        <w:rPr>
          <w:rFonts w:hint="eastAsia"/>
          <w:sz w:val="24"/>
          <w:szCs w:val="24"/>
          <w:lang w:val="en-US" w:eastAsia="zh-CN"/>
        </w:rPr>
        <w:t>的任务繁重，用于个人科研的精力十分有限，没有集中的时间用来写论文和专利，Idea和未完成的任务大部分转交给团队新进博士接手。另一方面，团队建设刚刚起步，每个人的研究方向差异较大，需要至少3-4年的时间进行过度磨合，成果出的没有这么快。在个人、团队、教学管理交困的一年时间中，努力的去学习新的知识，适应新的管理工作，尽可能的做好团队实验室的初期建设工作。虽然目前成果不尽如人意，但是相信度过目前这一阶段的困难，一切都会走上顺利的轨道。现就一年来</w:t>
      </w:r>
      <w:r>
        <w:rPr>
          <w:rFonts w:hint="eastAsia"/>
          <w:sz w:val="24"/>
          <w:szCs w:val="24"/>
        </w:rPr>
        <w:t>在思想、</w:t>
      </w:r>
      <w:r>
        <w:rPr>
          <w:rFonts w:hint="eastAsia"/>
          <w:sz w:val="24"/>
          <w:szCs w:val="24"/>
          <w:lang w:val="en-US" w:eastAsia="zh-CN"/>
        </w:rPr>
        <w:t>团队建设</w:t>
      </w:r>
      <w:r>
        <w:rPr>
          <w:rFonts w:hint="eastAsia"/>
          <w:sz w:val="24"/>
          <w:szCs w:val="24"/>
        </w:rPr>
        <w:t>和</w:t>
      </w:r>
      <w:r>
        <w:rPr>
          <w:rFonts w:hint="eastAsia"/>
          <w:sz w:val="24"/>
          <w:szCs w:val="24"/>
          <w:lang w:val="en-US" w:eastAsia="zh-CN"/>
        </w:rPr>
        <w:t>管理上的总结汇报如下：</w:t>
      </w:r>
    </w:p>
    <w:p>
      <w:pPr>
        <w:spacing w:line="360" w:lineRule="auto"/>
        <w:ind w:firstLine="482" w:firstLineChars="200"/>
        <w:rPr>
          <w:b/>
          <w:bCs/>
          <w:sz w:val="24"/>
          <w:szCs w:val="24"/>
        </w:rPr>
      </w:pPr>
      <w:r>
        <w:rPr>
          <w:rFonts w:hint="eastAsia"/>
          <w:b/>
          <w:bCs/>
          <w:sz w:val="24"/>
          <w:szCs w:val="24"/>
        </w:rPr>
        <w:t>一、加强政治理论学习，切实提高党性修养</w:t>
      </w:r>
    </w:p>
    <w:p>
      <w:pPr>
        <w:spacing w:line="360" w:lineRule="auto"/>
        <w:ind w:firstLine="480" w:firstLineChars="200"/>
        <w:rPr>
          <w:rFonts w:hint="eastAsia"/>
          <w:sz w:val="24"/>
          <w:szCs w:val="24"/>
          <w:lang w:val="en-US" w:eastAsia="zh-CN"/>
        </w:rPr>
      </w:pPr>
      <w:r>
        <w:rPr>
          <w:rFonts w:hint="eastAsia"/>
          <w:sz w:val="24"/>
          <w:szCs w:val="24"/>
          <w:lang w:val="en-US" w:eastAsia="zh-CN"/>
        </w:rPr>
        <w:t>通过学习，使我对习近平新时代中国特色社会主义思想、党的二十大报告精神和怀部长“深入学习贯彻习近平总书记关于教育的重要论述”的报告精神有了进一步的理解。习近平新时代中国特色社会主义思想在马克思主义中国化进程中具有里程碑意义，是新时代中国特色社会主义建设的总纲领、总设计和总指引，也是统一全党全国人民思想意志的精神旗帜和力量源泉。党的二十大报告回顾了过去五年取得的非凡成就，充分展示了中国共产党是团结带领人民攻坚克难、开拓前进最可靠的领导力量。习总书记在报告中特别强调“我们要坚持教育优先发展、科技自立自强、人才引领驱动、加快建设教育强国、科技强国、人才强国，坚持为党育人、为国育才，全面提高人才自主培养质量，着力造就拔尖创新人才，聚天下英才而用之”。高校作为人才培养、集聚和科技创新的主阵地，一定要深刻理解和准确把握科技、人才、创新三者之间的关系，培养具有中国特色的拔尖创新人才，为实现中华民族伟大复兴贡献力量。当前，中国高等教育整体水平已进入世界高等教育第一方阵，更是在四新建设、数字化教育、创新创业等领域抢占制高点，引领新质量新标准。展望未来，中国高等教育必将在服务国家发展战略、助力人民共同富裕和应对外部复杂环境中准确识变、科学应变、主动求变，在急难险重中勇毅前行。作为一名教育管理人员，要立足自身岗位，牢固树立“四个意识”，坚定“四个自信 ”和“两个维护”，全面贯彻党的教育方针，坚决落实立德树人根本任务，培养德智体美劳全面发展的社会主义建设者和接班人。</w:t>
      </w:r>
    </w:p>
    <w:p>
      <w:pPr>
        <w:numPr>
          <w:ilvl w:val="0"/>
          <w:numId w:val="1"/>
        </w:numPr>
        <w:spacing w:line="360" w:lineRule="auto"/>
        <w:ind w:firstLine="482" w:firstLineChars="200"/>
        <w:rPr>
          <w:rFonts w:hint="eastAsia"/>
          <w:b/>
          <w:bCs/>
          <w:sz w:val="24"/>
          <w:szCs w:val="24"/>
          <w:lang w:val="en-US" w:eastAsia="zh-CN"/>
        </w:rPr>
      </w:pPr>
      <w:r>
        <w:rPr>
          <w:rFonts w:hint="eastAsia"/>
          <w:b/>
          <w:bCs/>
          <w:sz w:val="24"/>
          <w:szCs w:val="24"/>
          <w:lang w:val="en-US" w:eastAsia="zh-CN"/>
        </w:rPr>
        <w:t>做强做实团队建设，我们一直在路上</w:t>
      </w:r>
    </w:p>
    <w:p>
      <w:pPr>
        <w:spacing w:line="360" w:lineRule="auto"/>
        <w:ind w:firstLine="480" w:firstLineChars="200"/>
        <w:rPr>
          <w:rFonts w:hint="eastAsia"/>
          <w:sz w:val="24"/>
          <w:szCs w:val="24"/>
          <w:lang w:val="en-US" w:eastAsia="zh-CN"/>
        </w:rPr>
      </w:pPr>
      <w:r>
        <w:rPr>
          <w:rFonts w:hint="eastAsia"/>
          <w:sz w:val="24"/>
          <w:szCs w:val="24"/>
          <w:lang w:val="en-US" w:eastAsia="zh-CN"/>
        </w:rPr>
        <w:t>过去一年，作为团队负责人申报的“环境污染控制与生态修复团队”获得2022年度丽水学院1355团队培育项目立项。团队共有成员10人，但其中固定核心成员仅有5人，除本人外，一人为硕士（以教学为主），3人为近1-2年新进博士。团队建设存在方向松散难以短期转型、实验室设备缺乏、场地不足、学科方向凝练困难等问题。一年来，通过实验室资源整合、科研经费集资采购设备、手把手带科研与学科竞赛、加强课程建设指导、争取校外联合培养研究生等方式逐步形成一个具有凝聚力的团体，团队层次架构和基础条件日益完善。一年来，带领团队完成化学化工系首门省级一流课程的建设，获得化学化工系历年来浙江省大学生化学竞赛一等奖零的突破，首次以个人科研经费完成总价23万的高效液相色谱仪的采购，引进化学化工系首位能在本校做实验的联合培养研究生。此外，指导团队完成校级虚拟仿真实验项目建设1项，并积极准备后续省级虚拟仿真实验项目的申报等。</w:t>
      </w:r>
    </w:p>
    <w:p>
      <w:pPr>
        <w:spacing w:line="360" w:lineRule="auto"/>
        <w:ind w:firstLine="480" w:firstLineChars="200"/>
        <w:rPr>
          <w:rFonts w:hint="default"/>
          <w:sz w:val="24"/>
          <w:szCs w:val="24"/>
          <w:lang w:val="en-US" w:eastAsia="zh-CN"/>
        </w:rPr>
      </w:pPr>
      <w:r>
        <w:rPr>
          <w:rFonts w:hint="eastAsia"/>
          <w:sz w:val="24"/>
          <w:szCs w:val="24"/>
          <w:lang w:val="en-US" w:eastAsia="zh-CN"/>
        </w:rPr>
        <w:t>科研方面，2022年4月顺利完成</w:t>
      </w:r>
      <w:r>
        <w:rPr>
          <w:rFonts w:hint="eastAsia"/>
          <w:sz w:val="24"/>
          <w:szCs w:val="24"/>
        </w:rPr>
        <w:t>主持的浙江省自然科学基金项目</w:t>
      </w:r>
      <w:r>
        <w:rPr>
          <w:rFonts w:hint="eastAsia"/>
          <w:sz w:val="24"/>
          <w:szCs w:val="24"/>
          <w:lang w:val="en-US" w:eastAsia="zh-CN"/>
        </w:rPr>
        <w:t xml:space="preserve">: </w:t>
      </w:r>
      <w:r>
        <w:rPr>
          <w:rFonts w:hint="eastAsia"/>
          <w:sz w:val="24"/>
          <w:szCs w:val="24"/>
        </w:rPr>
        <w:t>基于薄膜扩散梯度技术的氟喹诺酮类抗生素水体被动采样研究（2018.11--2021.12</w:t>
      </w:r>
      <w:r>
        <w:rPr>
          <w:rFonts w:hint="eastAsia"/>
          <w:sz w:val="24"/>
          <w:szCs w:val="24"/>
          <w:lang w:eastAsia="zh-CN"/>
        </w:rPr>
        <w:t>）</w:t>
      </w:r>
      <w:r>
        <w:rPr>
          <w:rFonts w:hint="eastAsia"/>
          <w:sz w:val="24"/>
          <w:szCs w:val="24"/>
          <w:lang w:val="en-US" w:eastAsia="zh-CN"/>
        </w:rPr>
        <w:t>的结题验收；</w:t>
      </w:r>
      <w:r>
        <w:rPr>
          <w:rFonts w:hint="eastAsia"/>
          <w:sz w:val="24"/>
          <w:szCs w:val="24"/>
        </w:rPr>
        <w:t>2020年9月获批</w:t>
      </w:r>
      <w:r>
        <w:rPr>
          <w:rFonts w:hint="eastAsia"/>
          <w:sz w:val="24"/>
          <w:szCs w:val="24"/>
          <w:lang w:val="en-US" w:eastAsia="zh-CN"/>
        </w:rPr>
        <w:t>的</w:t>
      </w:r>
      <w:r>
        <w:rPr>
          <w:rFonts w:hint="eastAsia"/>
          <w:sz w:val="24"/>
          <w:szCs w:val="24"/>
        </w:rPr>
        <w:t>国家自然科学面上项目：亲水印迹-比率荧光耦合技术用于双酚类环境内分泌干扰物的可视化检测（2021.1-2014.12 ）</w:t>
      </w:r>
      <w:r>
        <w:rPr>
          <w:rFonts w:hint="eastAsia"/>
          <w:sz w:val="24"/>
          <w:szCs w:val="24"/>
          <w:lang w:val="en-US" w:eastAsia="zh-CN"/>
        </w:rPr>
        <w:t>也在顺利推进过程中，并完成2021年年度进展报告，相关成果近期正在陆续整理待发表。</w:t>
      </w:r>
      <w:r>
        <w:rPr>
          <w:rFonts w:hint="eastAsia"/>
          <w:sz w:val="24"/>
          <w:szCs w:val="24"/>
        </w:rPr>
        <w:t>此外，积极参与丽水市森林植物源挥发物分布特征及其生态康养价值实现模式研究等地方服务项目的工作。</w:t>
      </w:r>
    </w:p>
    <w:p>
      <w:pPr>
        <w:numPr>
          <w:ilvl w:val="0"/>
          <w:numId w:val="1"/>
        </w:numPr>
        <w:spacing w:line="360" w:lineRule="auto"/>
        <w:ind w:left="0" w:leftChars="0" w:firstLine="482" w:firstLineChars="200"/>
        <w:rPr>
          <w:rFonts w:hint="eastAsia"/>
          <w:b/>
          <w:bCs/>
          <w:sz w:val="24"/>
          <w:szCs w:val="24"/>
          <w:lang w:val="en-US" w:eastAsia="zh-CN"/>
        </w:rPr>
      </w:pPr>
      <w:r>
        <w:rPr>
          <w:rFonts w:hint="eastAsia"/>
          <w:b/>
          <w:bCs/>
          <w:sz w:val="24"/>
          <w:szCs w:val="24"/>
        </w:rPr>
        <w:t>坚持立德树人，</w:t>
      </w:r>
      <w:r>
        <w:rPr>
          <w:rFonts w:hint="eastAsia"/>
          <w:b/>
          <w:bCs/>
          <w:sz w:val="24"/>
          <w:szCs w:val="24"/>
          <w:lang w:val="en-US" w:eastAsia="zh-CN"/>
        </w:rPr>
        <w:t>推动生态学院教学工作高质量有序发展</w:t>
      </w:r>
    </w:p>
    <w:p>
      <w:pPr>
        <w:spacing w:line="360" w:lineRule="auto"/>
        <w:ind w:firstLine="480" w:firstLineChars="200"/>
        <w:rPr>
          <w:rFonts w:hint="eastAsia"/>
          <w:sz w:val="24"/>
          <w:szCs w:val="24"/>
        </w:rPr>
      </w:pPr>
      <w:r>
        <w:rPr>
          <w:rFonts w:hint="eastAsia"/>
          <w:sz w:val="24"/>
          <w:szCs w:val="24"/>
        </w:rPr>
        <w:t>作为生态学院教学副院长，积极推动学院的人才培养方案和课程标准修订工作，全面融入“思政元素”，学院在省级一流</w:t>
      </w:r>
      <w:r>
        <w:rPr>
          <w:rFonts w:hint="eastAsia"/>
          <w:sz w:val="24"/>
          <w:szCs w:val="24"/>
          <w:lang w:val="en-US" w:eastAsia="zh-CN"/>
        </w:rPr>
        <w:t>专业建设、</w:t>
      </w:r>
      <w:r>
        <w:rPr>
          <w:rFonts w:hint="eastAsia"/>
          <w:sz w:val="24"/>
          <w:szCs w:val="24"/>
        </w:rPr>
        <w:t>省级一流课程建设、青年教师教学技能竞赛、“思政”教改项目和“思政”案例方面都取得了</w:t>
      </w:r>
      <w:r>
        <w:rPr>
          <w:rFonts w:hint="eastAsia"/>
          <w:sz w:val="24"/>
          <w:szCs w:val="24"/>
          <w:lang w:val="en-US" w:eastAsia="zh-CN"/>
        </w:rPr>
        <w:t>优异</w:t>
      </w:r>
      <w:r>
        <w:rPr>
          <w:rFonts w:hint="eastAsia"/>
          <w:sz w:val="24"/>
          <w:szCs w:val="24"/>
        </w:rPr>
        <w:t>的成绩。</w:t>
      </w:r>
      <w:r>
        <w:rPr>
          <w:rFonts w:hint="eastAsia"/>
          <w:sz w:val="24"/>
          <w:szCs w:val="24"/>
          <w:lang w:val="en-US" w:eastAsia="zh-CN"/>
        </w:rPr>
        <w:t>积极推动生态学院“分层分类人才培养模式”的构建，以本科生科研导师制和产业创新班为重要抓手，不断推进人才培养质量的提升。2022年研究生录取率完成新的历史突破，获得了27%的好成绩，生态合成革创新班等新型人才培养模式的探索逐步推进。</w:t>
      </w:r>
      <w:r>
        <w:rPr>
          <w:rFonts w:hint="eastAsia"/>
          <w:sz w:val="24"/>
          <w:szCs w:val="24"/>
        </w:rPr>
        <w:t>此外，作为应用化学的专业负责人和应用化学20的班主任，深入学生一线，及时发现并解决教学各环节中的问题。</w:t>
      </w:r>
    </w:p>
    <w:p>
      <w:pPr>
        <w:spacing w:line="360" w:lineRule="auto"/>
        <w:ind w:firstLine="480" w:firstLineChars="200"/>
        <w:rPr>
          <w:rFonts w:hint="eastAsia"/>
          <w:sz w:val="24"/>
          <w:szCs w:val="24"/>
        </w:rPr>
      </w:pPr>
    </w:p>
    <w:p>
      <w:pPr>
        <w:spacing w:line="360" w:lineRule="auto"/>
        <w:jc w:val="left"/>
        <w:rPr>
          <w:b/>
          <w:bCs/>
          <w:sz w:val="24"/>
          <w:szCs w:val="24"/>
        </w:rPr>
      </w:pPr>
      <w:r>
        <w:rPr>
          <w:rFonts w:hint="eastAsia"/>
          <w:b/>
          <w:bCs/>
          <w:sz w:val="24"/>
          <w:szCs w:val="24"/>
        </w:rPr>
        <w:t>相关</w:t>
      </w:r>
      <w:r>
        <w:rPr>
          <w:rFonts w:hint="eastAsia"/>
          <w:b/>
          <w:bCs/>
          <w:sz w:val="24"/>
          <w:szCs w:val="24"/>
          <w:lang w:val="en-US" w:eastAsia="zh-CN"/>
        </w:rPr>
        <w:t>个人</w:t>
      </w:r>
      <w:r>
        <w:rPr>
          <w:rFonts w:hint="eastAsia"/>
          <w:b/>
          <w:bCs/>
          <w:sz w:val="24"/>
          <w:szCs w:val="24"/>
        </w:rPr>
        <w:t>业绩</w:t>
      </w:r>
      <w:r>
        <w:rPr>
          <w:rFonts w:hint="eastAsia"/>
          <w:b/>
          <w:bCs/>
          <w:sz w:val="24"/>
          <w:szCs w:val="24"/>
          <w:lang w:val="en-US" w:eastAsia="zh-CN"/>
        </w:rPr>
        <w:t>如下</w:t>
      </w:r>
      <w:r>
        <w:rPr>
          <w:rFonts w:hint="eastAsia"/>
          <w:b/>
          <w:bCs/>
          <w:sz w:val="24"/>
          <w:szCs w:val="24"/>
        </w:rPr>
        <w:t>：</w:t>
      </w:r>
    </w:p>
    <w:p>
      <w:pPr>
        <w:pStyle w:val="4"/>
        <w:widowControl/>
        <w:numPr>
          <w:ilvl w:val="0"/>
          <w:numId w:val="2"/>
        </w:numPr>
        <w:spacing w:line="360" w:lineRule="auto"/>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亲水印迹-比率荧光耦合技术用于双酚类环境内分泌干扰物的可视化检测，国家自然科学基金面上项目（22076072），63万，2021.01-2024.12，项目负责人，在研（2022年度到账经费21.9万元）；</w:t>
      </w:r>
    </w:p>
    <w:p>
      <w:pPr>
        <w:pStyle w:val="9"/>
        <w:numPr>
          <w:ilvl w:val="0"/>
          <w:numId w:val="2"/>
        </w:numPr>
        <w:spacing w:line="360" w:lineRule="auto"/>
        <w:ind w:firstLine="0" w:firstLineChars="0"/>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丽水市森林植物源挥发物分布特征及其生态康养价值实现模式研究，丽水市科技局重点项目，50万，2021.1.1-2014.12.30，第一参与人，在研；</w:t>
      </w:r>
    </w:p>
    <w:p>
      <w:pPr>
        <w:pStyle w:val="9"/>
        <w:numPr>
          <w:ilvl w:val="0"/>
          <w:numId w:val="2"/>
        </w:numPr>
        <w:spacing w:line="360" w:lineRule="auto"/>
        <w:ind w:firstLine="0" w:firstLineChars="0"/>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丽水学院2022年度高水平科研培育团队：环境污染控制与生态修复团队, 2022.05, 团队负责人，10万，在建</w:t>
      </w:r>
      <w:r>
        <w:rPr>
          <w:rFonts w:hint="eastAsia" w:cstheme="minorBidi"/>
          <w:kern w:val="2"/>
          <w:sz w:val="24"/>
          <w:szCs w:val="24"/>
          <w:lang w:val="en-US" w:eastAsia="zh-CN" w:bidi="ar-SA"/>
        </w:rPr>
        <w:t>；</w:t>
      </w:r>
    </w:p>
    <w:p>
      <w:pPr>
        <w:pStyle w:val="9"/>
        <w:numPr>
          <w:ilvl w:val="0"/>
          <w:numId w:val="2"/>
        </w:numPr>
        <w:spacing w:line="360" w:lineRule="auto"/>
        <w:ind w:firstLine="0" w:firstLineChars="0"/>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委托承办富含超级多酚生菜开发及利用项目专家论证咨询会，丽水经济技术开发区投资促进部，6.5万，主要参与人（6/12）</w:t>
      </w:r>
      <w:r>
        <w:rPr>
          <w:rFonts w:hint="eastAsia" w:cstheme="minorBidi"/>
          <w:kern w:val="2"/>
          <w:sz w:val="24"/>
          <w:szCs w:val="24"/>
          <w:lang w:val="en-US" w:eastAsia="zh-CN" w:bidi="ar-SA"/>
        </w:rPr>
        <w:t>, 2021.08.31, 已完成</w:t>
      </w:r>
      <w:r>
        <w:rPr>
          <w:rFonts w:hint="eastAsia" w:asciiTheme="minorHAnsi" w:hAnsiTheme="minorHAnsi" w:eastAsiaTheme="minorEastAsia" w:cstheme="minorBidi"/>
          <w:kern w:val="2"/>
          <w:sz w:val="24"/>
          <w:szCs w:val="24"/>
          <w:lang w:val="en-US" w:eastAsia="zh-CN" w:bidi="ar-SA"/>
        </w:rPr>
        <w:t>；</w:t>
      </w:r>
    </w:p>
    <w:p>
      <w:pPr>
        <w:pStyle w:val="9"/>
        <w:numPr>
          <w:ilvl w:val="0"/>
          <w:numId w:val="2"/>
        </w:numPr>
        <w:spacing w:line="360" w:lineRule="auto"/>
        <w:ind w:firstLine="0" w:firstLineChars="0"/>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全国商业科技进步奖三等奖，康养景观规划设计及建设关键技术创新与应用，省部级，三等（省部级），7/15，2021.12</w:t>
      </w:r>
      <w:r>
        <w:rPr>
          <w:rFonts w:hint="eastAsia" w:cstheme="minorBidi"/>
          <w:kern w:val="2"/>
          <w:sz w:val="24"/>
          <w:szCs w:val="24"/>
          <w:lang w:val="en-US" w:eastAsia="zh-CN" w:bidi="ar-SA"/>
        </w:rPr>
        <w:t>；</w:t>
      </w:r>
    </w:p>
    <w:p>
      <w:pPr>
        <w:numPr>
          <w:ilvl w:val="0"/>
          <w:numId w:val="2"/>
        </w:numPr>
        <w:spacing w:line="360" w:lineRule="auto"/>
        <w:ind w:left="0" w:leftChars="0" w:firstLine="0" w:firstLineChars="0"/>
        <w:rPr>
          <w:rFonts w:hint="default"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第十二届浙江省大学生化学竞赛（指导教师），省级，一等，1/3，2021.08</w:t>
      </w:r>
      <w:r>
        <w:rPr>
          <w:rFonts w:hint="eastAsia" w:cstheme="minorBidi"/>
          <w:kern w:val="2"/>
          <w:sz w:val="24"/>
          <w:szCs w:val="24"/>
          <w:lang w:val="en-US" w:eastAsia="zh-CN" w:bidi="ar-SA"/>
        </w:rPr>
        <w:t>；</w:t>
      </w:r>
    </w:p>
    <w:p>
      <w:pPr>
        <w:numPr>
          <w:ilvl w:val="0"/>
          <w:numId w:val="2"/>
        </w:numPr>
        <w:spacing w:line="360" w:lineRule="auto"/>
        <w:ind w:left="0" w:leftChars="0" w:firstLine="0" w:firstLineChars="0"/>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第十二届浙江省大学生化学竞赛（指导教师），省级，三等，2/2，2021.08</w:t>
      </w:r>
      <w:r>
        <w:rPr>
          <w:rFonts w:hint="eastAsia" w:cstheme="minorBidi"/>
          <w:kern w:val="2"/>
          <w:sz w:val="24"/>
          <w:szCs w:val="24"/>
          <w:lang w:val="en-US" w:eastAsia="zh-CN" w:bidi="ar-SA"/>
        </w:rPr>
        <w:t>；</w:t>
      </w:r>
    </w:p>
    <w:p>
      <w:pPr>
        <w:numPr>
          <w:ilvl w:val="0"/>
          <w:numId w:val="2"/>
        </w:numPr>
        <w:spacing w:line="360" w:lineRule="auto"/>
        <w:ind w:left="0" w:leftChars="0" w:firstLine="0" w:firstLineChars="0"/>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第十三届浙江省大学生化学竞赛（指导教师），省级，二等，1/2，2022.08</w:t>
      </w:r>
      <w:r>
        <w:rPr>
          <w:rFonts w:hint="eastAsia" w:cstheme="minorBidi"/>
          <w:kern w:val="2"/>
          <w:sz w:val="24"/>
          <w:szCs w:val="24"/>
          <w:lang w:val="en-US" w:eastAsia="zh-CN" w:bidi="ar-SA"/>
        </w:rPr>
        <w:t>；</w:t>
      </w:r>
    </w:p>
    <w:p>
      <w:pPr>
        <w:spacing w:line="360" w:lineRule="auto"/>
        <w:contextualSpacing/>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9. 孙晓丽; 王慕华; 杨甲甲; 纪律; 张燕; 一种双酚类替代模板半共价分子印迹介孔硅材料及其制备方法和应用，2019-8-23，中国，ZL201910742068.X. (2021</w:t>
      </w:r>
      <w:r>
        <w:rPr>
          <w:rFonts w:hint="eastAsia" w:cstheme="minorBidi"/>
          <w:kern w:val="2"/>
          <w:sz w:val="24"/>
          <w:szCs w:val="24"/>
          <w:lang w:val="en-US" w:eastAsia="zh-CN" w:bidi="ar-SA"/>
        </w:rPr>
        <w:t>.</w:t>
      </w:r>
      <w:r>
        <w:rPr>
          <w:rFonts w:hint="eastAsia" w:asciiTheme="minorHAnsi" w:hAnsiTheme="minorHAnsi" w:eastAsiaTheme="minorEastAsia" w:cstheme="minorBidi"/>
          <w:kern w:val="2"/>
          <w:sz w:val="24"/>
          <w:szCs w:val="24"/>
          <w:lang w:val="en-US" w:eastAsia="zh-CN" w:bidi="ar-SA"/>
        </w:rPr>
        <w:t>10</w:t>
      </w:r>
      <w:r>
        <w:rPr>
          <w:rFonts w:hint="eastAsia" w:cstheme="minorBidi"/>
          <w:kern w:val="2"/>
          <w:sz w:val="24"/>
          <w:szCs w:val="24"/>
          <w:lang w:val="en-US" w:eastAsia="zh-CN" w:bidi="ar-SA"/>
        </w:rPr>
        <w:t>.</w:t>
      </w:r>
      <w:r>
        <w:rPr>
          <w:rFonts w:hint="eastAsia" w:asciiTheme="minorHAnsi" w:hAnsiTheme="minorHAnsi" w:eastAsiaTheme="minorEastAsia" w:cstheme="minorBidi"/>
          <w:kern w:val="2"/>
          <w:sz w:val="24"/>
          <w:szCs w:val="24"/>
          <w:lang w:val="en-US" w:eastAsia="zh-CN" w:bidi="ar-SA"/>
        </w:rPr>
        <w:t>26授权)</w:t>
      </w:r>
    </w:p>
    <w:p>
      <w:pPr>
        <w:spacing w:line="360" w:lineRule="auto"/>
        <w:contextualSpacing/>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1</w:t>
      </w:r>
      <w:r>
        <w:rPr>
          <w:rFonts w:hint="eastAsia" w:cstheme="minorBidi"/>
          <w:kern w:val="2"/>
          <w:sz w:val="24"/>
          <w:szCs w:val="24"/>
          <w:lang w:val="en-US" w:eastAsia="zh-CN" w:bidi="ar-SA"/>
        </w:rPr>
        <w:t>0</w:t>
      </w:r>
      <w:r>
        <w:rPr>
          <w:rFonts w:hint="eastAsia" w:asciiTheme="minorHAnsi" w:hAnsiTheme="minorHAnsi" w:eastAsiaTheme="minorEastAsia" w:cstheme="minorBidi"/>
          <w:kern w:val="2"/>
          <w:sz w:val="24"/>
          <w:szCs w:val="24"/>
          <w:lang w:val="en-US" w:eastAsia="zh-CN" w:bidi="ar-SA"/>
        </w:rPr>
        <w:t>. 担任生态学院应用化学专业负责人，并完成2022年度培养方案修订和论证工作；</w:t>
      </w:r>
    </w:p>
    <w:p>
      <w:pPr>
        <w:spacing w:line="360" w:lineRule="auto"/>
        <w:contextualSpacing/>
        <w:rPr>
          <w:rFonts w:hint="default" w:asciiTheme="minorHAnsi" w:hAnsiTheme="minorHAnsi" w:eastAsiaTheme="minorEastAsia" w:cstheme="minorBidi"/>
          <w:kern w:val="2"/>
          <w:sz w:val="24"/>
          <w:szCs w:val="24"/>
          <w:lang w:val="en-US" w:eastAsia="zh-CN" w:bidi="ar-SA"/>
        </w:rPr>
      </w:pPr>
    </w:p>
    <w:p>
      <w:pPr>
        <w:spacing w:line="360" w:lineRule="auto"/>
        <w:contextualSpacing/>
        <w:rPr>
          <w:rFonts w:hint="eastAsia"/>
          <w:sz w:val="24"/>
          <w:szCs w:val="24"/>
        </w:rPr>
      </w:pPr>
    </w:p>
    <w:p>
      <w:pPr>
        <w:spacing w:line="360" w:lineRule="auto"/>
        <w:rPr>
          <w:rFonts w:hint="eastAsia" w:ascii="Times New Roman" w:hAnsi="Times New Roman" w:eastAsia="宋体" w:cs="Times New Roman"/>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EA3D6F"/>
    <w:multiLevelType w:val="singleLevel"/>
    <w:tmpl w:val="A4EA3D6F"/>
    <w:lvl w:ilvl="0" w:tentative="0">
      <w:start w:val="2"/>
      <w:numFmt w:val="chineseCounting"/>
      <w:suff w:val="nothing"/>
      <w:lvlText w:val="%1、"/>
      <w:lvlJc w:val="left"/>
      <w:rPr>
        <w:rFonts w:hint="eastAsia"/>
      </w:rPr>
    </w:lvl>
  </w:abstractNum>
  <w:abstractNum w:abstractNumId="1">
    <w:nsid w:val="3D38DE92"/>
    <w:multiLevelType w:val="singleLevel"/>
    <w:tmpl w:val="3D38DE9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0Y2VkY2ZiMDEwYzNiMTlmOWQ0YTkzODQxYzc4ZjUifQ=="/>
  </w:docVars>
  <w:rsids>
    <w:rsidRoot w:val="00D656B7"/>
    <w:rsid w:val="00012111"/>
    <w:rsid w:val="00016083"/>
    <w:rsid w:val="00024249"/>
    <w:rsid w:val="000246C3"/>
    <w:rsid w:val="00045CBD"/>
    <w:rsid w:val="00094AFA"/>
    <w:rsid w:val="000C542D"/>
    <w:rsid w:val="00104CF1"/>
    <w:rsid w:val="0015027F"/>
    <w:rsid w:val="00236A3B"/>
    <w:rsid w:val="00252CAE"/>
    <w:rsid w:val="002777E1"/>
    <w:rsid w:val="002B1EBC"/>
    <w:rsid w:val="002C1774"/>
    <w:rsid w:val="003267F9"/>
    <w:rsid w:val="003551F1"/>
    <w:rsid w:val="00361EC3"/>
    <w:rsid w:val="003C4A32"/>
    <w:rsid w:val="003E5DD2"/>
    <w:rsid w:val="00427B0F"/>
    <w:rsid w:val="00427C58"/>
    <w:rsid w:val="004331DD"/>
    <w:rsid w:val="00452BCC"/>
    <w:rsid w:val="004D2B22"/>
    <w:rsid w:val="00501AF9"/>
    <w:rsid w:val="005379FB"/>
    <w:rsid w:val="005A5F7C"/>
    <w:rsid w:val="005E4009"/>
    <w:rsid w:val="005E4727"/>
    <w:rsid w:val="0060783F"/>
    <w:rsid w:val="00694F26"/>
    <w:rsid w:val="006B1B23"/>
    <w:rsid w:val="006B6AA5"/>
    <w:rsid w:val="006C1D8A"/>
    <w:rsid w:val="006E23F2"/>
    <w:rsid w:val="0073641C"/>
    <w:rsid w:val="007370DC"/>
    <w:rsid w:val="00763B98"/>
    <w:rsid w:val="007766FF"/>
    <w:rsid w:val="00791D06"/>
    <w:rsid w:val="007C597A"/>
    <w:rsid w:val="00857FF9"/>
    <w:rsid w:val="008D2DD0"/>
    <w:rsid w:val="009446CA"/>
    <w:rsid w:val="009C0C60"/>
    <w:rsid w:val="00A44873"/>
    <w:rsid w:val="00A6409B"/>
    <w:rsid w:val="00A86CA7"/>
    <w:rsid w:val="00AA525D"/>
    <w:rsid w:val="00AE6D5D"/>
    <w:rsid w:val="00B823DE"/>
    <w:rsid w:val="00BE405C"/>
    <w:rsid w:val="00BF383D"/>
    <w:rsid w:val="00C9439A"/>
    <w:rsid w:val="00CB60D7"/>
    <w:rsid w:val="00CD3B28"/>
    <w:rsid w:val="00D13CCF"/>
    <w:rsid w:val="00D216D4"/>
    <w:rsid w:val="00D60278"/>
    <w:rsid w:val="00D63380"/>
    <w:rsid w:val="00D656B7"/>
    <w:rsid w:val="00DF5B3B"/>
    <w:rsid w:val="00E03179"/>
    <w:rsid w:val="00E421BA"/>
    <w:rsid w:val="00E869D1"/>
    <w:rsid w:val="00EE2496"/>
    <w:rsid w:val="00F4158C"/>
    <w:rsid w:val="00F47B9D"/>
    <w:rsid w:val="00F90E52"/>
    <w:rsid w:val="00FC57DF"/>
    <w:rsid w:val="096768D3"/>
    <w:rsid w:val="0A11761A"/>
    <w:rsid w:val="0B4C4AF8"/>
    <w:rsid w:val="19DE6D99"/>
    <w:rsid w:val="1A7D1DA3"/>
    <w:rsid w:val="1B9C24A2"/>
    <w:rsid w:val="2237485C"/>
    <w:rsid w:val="2EC97183"/>
    <w:rsid w:val="38727ACB"/>
    <w:rsid w:val="3B862684"/>
    <w:rsid w:val="3F471D9D"/>
    <w:rsid w:val="5387780B"/>
    <w:rsid w:val="55D67042"/>
    <w:rsid w:val="5E196F30"/>
    <w:rsid w:val="6A360C81"/>
    <w:rsid w:val="6B8151FC"/>
    <w:rsid w:val="717B567B"/>
    <w:rsid w:val="74106665"/>
    <w:rsid w:val="787D3522"/>
    <w:rsid w:val="7B724C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99"/>
    <w:pPr>
      <w:spacing w:before="100" w:beforeAutospacing="1" w:after="100" w:afterAutospacing="1"/>
      <w:jc w:val="left"/>
    </w:pPr>
    <w:rPr>
      <w:rFonts w:ascii="Calibri" w:hAnsi="Calibri" w:eastAsia="宋体" w:cs="Times New Roman"/>
      <w:kern w:val="0"/>
      <w:sz w:val="24"/>
      <w:szCs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2329</Words>
  <Characters>2550</Characters>
  <Lines>12</Lines>
  <Paragraphs>3</Paragraphs>
  <TotalTime>0</TotalTime>
  <ScaleCrop>false</ScaleCrop>
  <LinksUpToDate>false</LinksUpToDate>
  <CharactersWithSpaces>2565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2018-01-02T03:50:00Z</dcterms:created>
  <dc:creator>sunxiaoli</dc:creator>
  <cp:lastModifiedBy>Ly</cp:lastModifiedBy>
  <dcterms:modified xsi:type="dcterms:W3CDTF">2022-11-23T01:30:24Z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D6695DF79F634CEEBB760E2C58A9373C</vt:lpwstr>
  </property>
</Properties>
</file>